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医责险(二次)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CGXM-2025-350101-02647[2025]02170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[350101]SD[CS]2025005-1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医责险(二次)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福建顺德招标代理有限公司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医责险(二次)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CGXM-2025-350101-02647[2025]02170</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[350101]SD[CS]2025005-1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医责险</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医责险</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医责险</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医责险</w:t>
            </w:r>
          </w:p>
        </w:tc>
        <w:tc>
          <w:tcPr>
            <w:tcW w:type="dxa" w:w="2076"/>
          </w:tcPr>
          <w:p>
            <w:pPr>
              <w:pStyle w:val="null3"/>
              <w:jc w:val="left"/>
            </w:pPr>
            <w:r>
              <w:rPr>
                <w:rFonts w:ascii="仿宋_GB2312" w:hAnsi="仿宋_GB2312" w:cs="仿宋_GB2312" w:eastAsia="仿宋_GB2312"/>
              </w:rPr>
              <w:t>医责险</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磋商文件规定的其他资格证明文件</w:t>
            </w:r>
          </w:p>
        </w:tc>
        <w:tc>
          <w:tcPr>
            <w:tcW w:type="dxa" w:w="4614"/>
          </w:tcPr>
          <w:p>
            <w:pPr>
              <w:pStyle w:val="null3"/>
              <w:jc w:val="left"/>
            </w:pPr>
            <w:r>
              <w:rPr>
                <w:rFonts w:ascii="仿宋_GB2312" w:hAnsi="仿宋_GB2312" w:cs="仿宋_GB2312" w:eastAsia="仿宋_GB2312"/>
              </w:rPr>
              <w:t>1、以总公司参与的须提供总公司的《保险许可证》或《经营保险业务许可证》复印件；2、若以分支机构参与的须提供分支机构的《保险许可证》或《经营保险业务许可证》复印件，还需提供总公司的《保险许可证》或《经营保险业务许可证》复印件。</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福建顺德招标代理有限公司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福州市晋安区新店镇秀山路245号索高广场2号楼2层203单元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林炜、杨淑芬、江琪、庄丽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0591-87959580</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福建顺德招标代理有限公司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磋商文件规定的其他资格证明文件</w:t>
                  </w:r>
                </w:p>
              </w:tc>
              <w:tc>
                <w:tcPr>
                  <w:tcW w:type="dxa" w:w="1418"/>
                </w:tcPr>
                <w:p>
                  <w:pPr>
                    <w:pStyle w:val="null3"/>
                    <w:jc w:val="left"/>
                  </w:pPr>
                  <w:r>
                    <w:rPr>
                      <w:rFonts w:ascii="仿宋_GB2312" w:hAnsi="仿宋_GB2312" w:cs="仿宋_GB2312" w:eastAsia="仿宋_GB2312"/>
                    </w:rPr>
                    <w:t>1、以总公司参与的须提供总公司的《保险许可证》或《经营保险业务许可证》复印件；2、若以分支机构参与的须提供分支机构的《保险许可证》或《经营保险业务许可证》复印件，还需提供总公司的《保险许可证》或《经营保险业务许可证》复印件。</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收费费率标准：1.50%。注：采购代理服务费收取方式：(1)成交人应在结果公告发布之日起5个工作日内按规定的标准一次性向采购代理机构缴清采购代理服务费。采购代理服务费以银行转账、电汇、汇票或现金等付款方式。(2)采购代理服务费缴交银行账号：开户名：福建顺德招标代理有限公司；开户行：中国建设银行股份有限公司福州城北支行；账号：3505 0189 0007 0000 1394。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信用记录指由财政部确定的有关网站提供的相关主体信用信息。信用记录的查询及使用应符合财政部文件（财库[2016]125号）规定。(3)本项目支持远程开标，供应商可通过远程线上参与开标，具体系统操作指南详见福建省政府采购网首页上相关操作手册。开标过程中解密及远程签章的操作时限均为30分钟，请供应商务必密切关注实时开标流程，完成远程解密、远程签章。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在开标过程中，因系统故障等导致无法继续进行开标的，供应商须配合等待故障处理，待故障解除后继续开标。(4)单位负责人授权书中单位负责人签字可使用打字录入方式完成。</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①由于本项目供应商不需要制作纸质响应文件，因此磋商文件第五章《首次响应文件格式》“附件3-3单位负责人授权书”中要求的“纸质响应文件正本中的本授权书应为原件”不再适用本项目。供应商在电子响应文件中提交的单位负责人授权书不是原件扫描件的，不视为资格审查不合格，以此为准。（12）-2、①本项目支持远程开标，供应商可通过远程线上参与开标，具体系统操作指南详见福建省政府采购网首页上相关操作手册。②请供应商务必密切关注实时开标流程，完成远程解密、远程签章。③供应商应确保自身设施、设备、网络环境状况良好，在开标过程中因供应商自身原因未在规定的操作时间内完成响应文件的解密，逾期未解密的，视为自行放弃响应。供应商未在规定的操作时间内完成远程签章的，视为默认开标结果。④在开标过程中，因系统故障等导致无法继续进行开标的，供应商须配合等待故障处理，待故障解除后继续开标。⑤选择参加现场开标的，应由供应商代表在提交响应文件截止时间前到达开标地点并递交CA证书且自行携带笔记本电脑便于提交最后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 (1)响应文件中报价一览表内容(或最后报价表)与响应文件中相应内容不一致的，以报价一览表(或最后报价表)为准；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 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1、技术和服务响应情况</w:t>
            </w:r>
          </w:p>
        </w:tc>
        <w:tc>
          <w:tcPr>
            <w:tcW w:type="dxa" w:w="831"/>
          </w:tcPr>
          <w:p>
            <w:pPr>
              <w:pStyle w:val="null3"/>
              <w:jc w:val="right"/>
            </w:pPr>
            <w:r>
              <w:rPr>
                <w:rFonts w:ascii="仿宋_GB2312" w:hAnsi="仿宋_GB2312" w:cs="仿宋_GB2312" w:eastAsia="仿宋_GB2312"/>
              </w:rPr>
              <w:t>48.00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第三章采购内容及要求》“二、技术要求”中的各项配置要求的响应、承诺情况并结合相关佐证材料(如有要求)，由磋商小组进行评分：标注★的参数（共计2项）为不允许负偏离的实质性要求，任意一项负偏离均视为无效响应；标注有（评分项1至评分项16）完全满足《第三章采购内容及要求》二、技术要求中的各项配置要求的得48分，共计16项，每负偏离一项扣3分，正偏离不加分,扣完为止。</w:t>
            </w:r>
          </w:p>
        </w:tc>
      </w:tr>
      <w:tr>
        <w:tc>
          <w:tcPr>
            <w:tcW w:type="dxa" w:w="3322"/>
          </w:tcPr>
          <w:p>
            <w:pPr>
              <w:pStyle w:val="null3"/>
              <w:jc w:val="left"/>
            </w:pPr>
            <w:r>
              <w:rPr>
                <w:rFonts w:ascii="仿宋_GB2312" w:hAnsi="仿宋_GB2312" w:cs="仿宋_GB2312" w:eastAsia="仿宋_GB2312"/>
              </w:rPr>
              <w:t>2、投保服务体系</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投保服务体系，包含但不限于：①投保服务的介绍；②承保业务种类和投保流程；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3、理赔服务方案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理赔服务方案，包含但不限于：①理赔流程；②理赔时效承诺；③理赔争议处理；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4、风险管控方案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风险管控方案，包含但不限于：①风险分析与梳理；②风险评估；③风险应对措施；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5、应急管理方案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应急管理方案，包含但不限于：①突发事件分类；②突发事件应对措施；③事后反馈与改进措施；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6、配合机制</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配合机制，包含但不限于：①服务团队配合机制；②执行过程中配合机制；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7、保险衔接方案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保险衔接方案，包含但不限于与采购人上一期保险合同的衔接安排与组织实施方案；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8、理赔总额限额</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承诺的保险金额与赔偿限额情况，由磋商小组成员进行评议并打分，①理赔总额限额＞120万元/年的得3分；②120万元/年≥理赔总额限额＞110万元/年的得2分；③110万元/年≥理赔总额限额＞100万元/年的得1分。须提供承诺函，承诺函格式自拟，未提供不得分。(满分3分)</w:t>
            </w:r>
          </w:p>
        </w:tc>
      </w:tr>
      <w:tr>
        <w:tc>
          <w:tcPr>
            <w:tcW w:type="dxa" w:w="3322"/>
          </w:tcPr>
          <w:p>
            <w:pPr>
              <w:pStyle w:val="null3"/>
              <w:jc w:val="left"/>
            </w:pPr>
            <w:r>
              <w:rPr>
                <w:rFonts w:ascii="仿宋_GB2312" w:hAnsi="仿宋_GB2312" w:cs="仿宋_GB2312" w:eastAsia="仿宋_GB2312"/>
              </w:rPr>
              <w:t>9、理赔经验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近三年(2022年度、2023年度、2024年度，赔付时间以银行支付回单所记载的时间为准)同类保险项目的赔付案例(需提供保单抄件、赔款计算书和银行支付回单），由磋商小组成员进行评议并打分，每年度提供一份案例得1分。(满分3分)</w:t>
            </w:r>
          </w:p>
        </w:tc>
      </w:tr>
    </w:tbl>
    <w:p>
      <w:pPr>
        <w:pStyle w:val="null3"/>
        <w:jc w:val="left"/>
      </w:pPr>
      <w:r>
        <w:rPr>
          <w:rFonts w:ascii="仿宋_GB2312" w:hAnsi="仿宋_GB2312" w:cs="仿宋_GB2312" w:eastAsia="仿宋_GB2312"/>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根据供应商所提供自2022年1月1日至本次响应文件递交截止日期（日期以合同签订时间为准）由供应商在国内所完成的与本项目同类业绩情况进行打分，每提供一份完整合格的业绩项目的得1分, 满分3分（业绩项目中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r>
        <w:tc>
          <w:tcPr>
            <w:tcW w:type="dxa" w:w="3322"/>
          </w:tcPr>
          <w:p>
            <w:pPr>
              <w:pStyle w:val="null3"/>
              <w:jc w:val="left"/>
            </w:pPr>
            <w:r>
              <w:rPr>
                <w:rFonts w:ascii="仿宋_GB2312" w:hAnsi="仿宋_GB2312" w:cs="仿宋_GB2312" w:eastAsia="仿宋_GB2312"/>
              </w:rPr>
              <w:t>2、核心偿付能力充足率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2024年第一季度至第四季度核心偿付能力充足率平均值情况，由磋商小组成员进行评议并打分，①2024年第一季度至第四季度核心偿付能力充足率平均值≥190%的得3分；②190%＞2024年第一季度至第四季度核心偿付能力充足率平均值≥180%的得2分；③180%＞2024年第一季度至第四季度核心偿付能力充足率平均值≥170%的得1分；④170%＞2024年第一季度至第四季度核心偿付能力充足率平均值的不得分。须提供供应商或供应商所属总公司偿付能力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3、综合偿付能力充足率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根据供应商或供应商所属总公司提供的2025年第二季度的综合偿付能力充足率情况，由磋商小组成员进行评议并打分，①综合偿付能力充足率＜200%的不得分；②200%≤综合偿付能力充足率 ＜250%的得1分；③250%≤综合偿付能力充足率 ＜280%的得2分；④280%≤综合偿付能力充足率的得3分。须提供供应商或供应商所属总公司2025年第二季度保险公司偿付能力季度报告中关键页截图并加盖供应商公章，未提供不得分。(满分3分)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4、风险综合评级</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保险公司偿付能力季度报告摘要中的2025年第一季度公司风险综合评级结果情况，由磋商小组成员进行评议并打分，①风险综合评级结果为AAA的得3分；②风险综合评级结果为AA的得2.5分；③风险综合评级结果为A的得2分；④风险综合评级结果为BBB的得1分；⑤风险综合评级结果为BB的得0.5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5、风险管理状况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保险公司偿付能力季度报告摘要中的最近一次偿付能力风险管理监管评估结果，由磋商小组成员进行评议并打分，①SARMRA(偿付能力风险管理评估)≥90分的得3分；②90分＞ARMRA(偿付能力风险管理评估)≥80分的得2分；③80分＞ARMRA(偿付能力风险管理评估)≥75分的得1分；④75分＞ARMRA(偿付能力风险管理评估)的不得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6、考核制度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内部服务质量考核制度，包括但不限于：①考核时间；②考核内容；③考核标准；④奖惩制度；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7、万张保单投诉量</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在国家金融监督管理总局官网最新公布的“万张保单投诉量”数值进行评分。万张保单投诉量≤0.01件得3分，0.01件＜万张保单投诉量≤0.03件得2分，0.03件＜万张保单投诉量≤0.05件得1分，万张保单投诉量＞0.05件不得分。满分3分。 注：国家金融监督管理总局官网最新公布的“万张保单投诉量”公开信息截图（相关网页及报表）并加盖供应商公章，未提供不得分。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（一）项目名称：福建省福州肺科医院医疗责任保险采购项目。</w:t>
      </w:r>
    </w:p>
    <w:p>
      <w:pPr>
        <w:pStyle w:val="null3"/>
        <w:ind w:firstLine="480"/>
      </w:pPr>
      <w:r>
        <w:rPr>
          <w:rFonts w:ascii="仿宋_GB2312" w:hAnsi="仿宋_GB2312" w:cs="仿宋_GB2312" w:eastAsia="仿宋_GB2312"/>
          <w:sz w:val="24"/>
          <w:shd w:fill="FFFFFF" w:val="clear"/>
        </w:rPr>
        <w:t>（二）项目背景：为有效防范和化解医疗风险，保障医患双方合法权益，提升医院风险管理水平，福建省福州肺科医院拟通过竞争性磋商方式采购医疗责任保险服务。</w:t>
      </w:r>
    </w:p>
    <w:p>
      <w:pPr>
        <w:pStyle w:val="null3"/>
        <w:ind w:firstLine="480"/>
      </w:pPr>
      <w:r>
        <w:rPr>
          <w:rFonts w:ascii="仿宋_GB2312" w:hAnsi="仿宋_GB2312" w:cs="仿宋_GB2312" w:eastAsia="仿宋_GB2312"/>
          <w:sz w:val="24"/>
          <w:shd w:fill="FFFFFF" w:val="clear"/>
        </w:rPr>
        <w:t>（三）项目目标：选定一家具备专业能力和丰富经验的保险公司，为医院提供全面、优质、高效的医疗责任保险服务，确保在保险期间内对医院因医疗执业过失导致的患者人身损害赔偿责任及相关法律费用等提供及时、足额的经济补偿。医责险主要覆盖在保险期间或保险合同载明的追溯期内，被保险人的投保医务人员在保险单载明的区域范围内从事诊疗护理活动时，因违反执业规范过失造成患者人身损害的经济赔偿责任。此外，还应覆盖保险事故发生后，被保险人因保险事故而与受害人之间产生的纠纷，应由被保险人支付的法律费用</w:t>
      </w:r>
      <w:r>
        <w:rPr>
          <w:rFonts w:ascii="仿宋_GB2312" w:hAnsi="仿宋_GB2312" w:cs="仿宋_GB2312" w:eastAsia="仿宋_GB2312"/>
          <w:sz w:val="24"/>
          <w:shd w:fill="FFFFFF" w:val="clear"/>
        </w:rPr>
        <w:t>(包括事故鉴定费、查勘费、取证费、仲裁或诉讼费、案件受理费等 )以及事先经保险人书面同意支付的其他必要的、合理的费用。</w:t>
      </w:r>
    </w:p>
    <w:p>
      <w:pPr>
        <w:pStyle w:val="null3"/>
        <w:ind w:firstLine="480"/>
      </w:pPr>
      <w:r>
        <w:rPr>
          <w:rFonts w:ascii="仿宋_GB2312" w:hAnsi="仿宋_GB2312" w:cs="仿宋_GB2312" w:eastAsia="仿宋_GB2312"/>
          <w:sz w:val="24"/>
          <w:shd w:fill="FFFFFF" w:val="clear"/>
        </w:rPr>
        <w:t>（四）供应商务必仔细阅读磋商文件中所规定的，其中包括技术规格在内的所有细则，根据磋商文件要求提供优质的服务。</w:t>
      </w:r>
    </w:p>
    <w:p>
      <w:pPr>
        <w:pStyle w:val="null3"/>
        <w:ind w:firstLine="480"/>
      </w:pPr>
      <w:r>
        <w:rPr>
          <w:rFonts w:ascii="仿宋_GB2312" w:hAnsi="仿宋_GB2312" w:cs="仿宋_GB2312" w:eastAsia="仿宋_GB2312"/>
          <w:sz w:val="24"/>
          <w:shd w:fill="FFFFFF" w:val="clear"/>
        </w:rPr>
        <w:t>（五）供应商应按采购包响应，对采购包内所有品目号内容响应时必须完整。评标与授标以采购包为单位。</w:t>
      </w:r>
    </w:p>
    <w:p>
      <w:pPr>
        <w:pStyle w:val="null3"/>
        <w:ind w:firstLine="480"/>
      </w:pPr>
      <w:r>
        <w:rPr>
          <w:rFonts w:ascii="仿宋_GB2312" w:hAnsi="仿宋_GB2312" w:cs="仿宋_GB2312" w:eastAsia="仿宋_GB2312"/>
          <w:sz w:val="24"/>
          <w:shd w:fill="FFFFFF" w:val="clear"/>
        </w:rPr>
        <w:t>（六）供应商务必仔细阅读磋商文件中所规定的，除本磋商文件条款另有规定的要求外，本次招标服务标准还应符合国家和省市、区行业相关的标准及有关规定。如上述标准及规定有矛盾的，则以较严格的现行标准、规定为准。</w:t>
      </w:r>
    </w:p>
    <w:p>
      <w:pPr>
        <w:pStyle w:val="null3"/>
        <w:ind w:firstLine="480"/>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★(一)保险责任范围</w:t>
      </w:r>
    </w:p>
    <w:p>
      <w:pPr>
        <w:pStyle w:val="null3"/>
        <w:ind w:firstLine="480"/>
        <w:jc w:val="both"/>
      </w:pPr>
      <w:r>
        <w:rPr>
          <w:rFonts w:ascii="仿宋_GB2312" w:hAnsi="仿宋_GB2312" w:cs="仿宋_GB2312" w:eastAsia="仿宋_GB2312"/>
          <w:sz w:val="24"/>
          <w:shd w:fill="FFFFFF" w:val="clear"/>
        </w:rPr>
        <w:t>1.医疗责任赔偿：在保险单列明的保险期间或追溯期及承保区域范围内，被保险医疗机构的医务人员在诊疗活动中，因执业过失导致患者人身损害而负担的赔偿责任，保险人根据保险合同约定负责赔偿。包括但不限于患者的医疗费、误工费、护理费、残疾赔偿金、死亡赔偿金等。</w:t>
      </w:r>
    </w:p>
    <w:p>
      <w:pPr>
        <w:pStyle w:val="null3"/>
        <w:ind w:firstLine="480"/>
        <w:jc w:val="both"/>
      </w:pPr>
      <w:r>
        <w:rPr>
          <w:rFonts w:ascii="仿宋_GB2312" w:hAnsi="仿宋_GB2312" w:cs="仿宋_GB2312" w:eastAsia="仿宋_GB2312"/>
          <w:sz w:val="24"/>
          <w:shd w:fill="FFFFFF" w:val="clear"/>
        </w:rPr>
        <w:t>2.精神损害赔偿：对因医疗事故或过失导致患者及其家属遭受精神痛苦而产生的精神损害赔偿费用，在保险合同约定的限额内予以赔偿。</w:t>
      </w:r>
    </w:p>
    <w:p>
      <w:pPr>
        <w:pStyle w:val="null3"/>
        <w:ind w:firstLine="480"/>
        <w:jc w:val="both"/>
      </w:pPr>
      <w:r>
        <w:rPr>
          <w:rFonts w:ascii="仿宋_GB2312" w:hAnsi="仿宋_GB2312" w:cs="仿宋_GB2312" w:eastAsia="仿宋_GB2312"/>
          <w:sz w:val="24"/>
          <w:shd w:fill="FFFFFF" w:val="clear"/>
        </w:rPr>
        <w:t>3.法律费用：保险人负责赔偿被保险人因保险事故而被提起仲裁或者诉讼的，对应由被保险人支付的仲裁或诉讼费用以及事先经保险人书面同意支付的其他必要的、合理的费用。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★(二)保险金额与赔偿限额</w:t>
      </w:r>
    </w:p>
    <w:p>
      <w:pPr>
        <w:pStyle w:val="null3"/>
        <w:ind w:firstLine="480"/>
        <w:jc w:val="both"/>
      </w:pPr>
      <w:r>
        <w:rPr>
          <w:rFonts w:ascii="仿宋_GB2312" w:hAnsi="仿宋_GB2312" w:cs="仿宋_GB2312" w:eastAsia="仿宋_GB2312"/>
          <w:sz w:val="24"/>
          <w:shd w:fill="FFFFFF" w:val="clear"/>
        </w:rPr>
        <w:t>1.每人赔偿限额：不低于300000元。</w:t>
      </w:r>
    </w:p>
    <w:p>
      <w:pPr>
        <w:pStyle w:val="null3"/>
        <w:ind w:firstLine="480"/>
        <w:jc w:val="both"/>
      </w:pPr>
      <w:r>
        <w:rPr>
          <w:rFonts w:ascii="仿宋_GB2312" w:hAnsi="仿宋_GB2312" w:cs="仿宋_GB2312" w:eastAsia="仿宋_GB2312"/>
          <w:sz w:val="24"/>
          <w:shd w:fill="FFFFFF" w:val="clear"/>
        </w:rPr>
        <w:t>2.每次事故赔偿限额：不低于500000元。</w:t>
      </w:r>
    </w:p>
    <w:p>
      <w:pPr>
        <w:pStyle w:val="null3"/>
        <w:ind w:firstLine="480"/>
        <w:jc w:val="both"/>
      </w:pPr>
      <w:r>
        <w:rPr>
          <w:rFonts w:ascii="仿宋_GB2312" w:hAnsi="仿宋_GB2312" w:cs="仿宋_GB2312" w:eastAsia="仿宋_GB2312"/>
          <w:sz w:val="24"/>
          <w:shd w:fill="FFFFFF" w:val="clear"/>
        </w:rPr>
        <w:t>3.精神损害赔偿每人限额：不低于50000元。</w:t>
      </w:r>
    </w:p>
    <w:p>
      <w:pPr>
        <w:pStyle w:val="null3"/>
        <w:ind w:firstLine="480"/>
        <w:jc w:val="both"/>
      </w:pPr>
      <w:r>
        <w:rPr>
          <w:rFonts w:ascii="仿宋_GB2312" w:hAnsi="仿宋_GB2312" w:cs="仿宋_GB2312" w:eastAsia="仿宋_GB2312"/>
          <w:sz w:val="24"/>
          <w:shd w:fill="FFFFFF" w:val="clear"/>
        </w:rPr>
        <w:t>4.法律费用全年累计赔偿限额：不低于50000元。</w:t>
      </w:r>
    </w:p>
    <w:p>
      <w:pPr>
        <w:pStyle w:val="null3"/>
        <w:ind w:firstLine="480"/>
        <w:jc w:val="both"/>
      </w:pPr>
      <w:r>
        <w:rPr>
          <w:rFonts w:ascii="仿宋_GB2312" w:hAnsi="仿宋_GB2312" w:cs="仿宋_GB2312" w:eastAsia="仿宋_GB2312"/>
          <w:sz w:val="24"/>
          <w:shd w:fill="FFFFFF" w:val="clear"/>
        </w:rPr>
        <w:t>5.理赔总额限额：不低于100万元/年。</w:t>
      </w:r>
    </w:p>
    <w:p>
      <w:pPr>
        <w:pStyle w:val="null3"/>
        <w:ind w:firstLine="480"/>
        <w:jc w:val="both"/>
      </w:pPr>
      <w:r>
        <w:rPr>
          <w:rFonts w:ascii="仿宋_GB2312" w:hAnsi="仿宋_GB2312" w:cs="仿宋_GB2312" w:eastAsia="仿宋_GB2312"/>
          <w:sz w:val="24"/>
          <w:shd w:fill="FFFFFF" w:val="clear"/>
        </w:rPr>
        <w:t>(三)服务响应要求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1.报案响应时间：成交人在接到保险报案后，应在120分钟内做出响应，并随后及时赶往现场。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2.理赔服务时效：成交人应在规定时间内完成评估定损，并参与医疗纠纷调解工作。在收到被保险人完整的理赔申请资料后，应在3个工作日内完成医疗责任保险理赔的审核工作并于30工作日内支付。</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培训与咨询服务：成交人应为医院提供医疗责任保险相关知识培训，包括保险条款解读、理赔流程介绍、风险管理方法等。同时，为医院提供日常法律咨询服务，解答医院在医疗纠纷处理过程中遇到的法律问题。</w:t>
      </w:r>
    </w:p>
    <w:p>
      <w:pPr>
        <w:pStyle w:val="null3"/>
        <w:ind w:firstLine="480"/>
        <w:jc w:val="both"/>
      </w:pPr>
      <w:r>
        <w:rPr>
          <w:rFonts w:ascii="仿宋_GB2312" w:hAnsi="仿宋_GB2312" w:cs="仿宋_GB2312" w:eastAsia="仿宋_GB2312"/>
          <w:sz w:val="24"/>
          <w:shd w:fill="FFFFFF" w:val="clear"/>
        </w:rPr>
        <w:t>(四)服务团队要求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1.专业人员配备：成交人应组建一支专业的医疗责任保险服务团队，团队成员应包括具有医学、法律、保险等专业背景的人员，且具备丰富的医疗责任保险服务经验。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2.团队稳定性：服务团队的核心成员在服务期限内应保持相对稳定，如有人员变动，应提前通知采购人，并确保新成员能够及时、有效地承接相关工作。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3.服务人员资质：服务团队成员应具备相应的从业资格证书，如保险代理人资格证书、律师执业证书等。</w:t>
      </w:r>
    </w:p>
    <w:p>
      <w:pPr>
        <w:pStyle w:val="null3"/>
        <w:ind w:firstLine="480"/>
        <w:jc w:val="both"/>
      </w:pPr>
      <w:r>
        <w:rPr>
          <w:rFonts w:ascii="仿宋_GB2312" w:hAnsi="仿宋_GB2312" w:cs="仿宋_GB2312" w:eastAsia="仿宋_GB2312"/>
          <w:sz w:val="24"/>
          <w:shd w:fill="FFFFFF" w:val="clear"/>
        </w:rPr>
        <w:t>(五)服务专线</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供应商需书面承诺设有全国统一</w:t>
      </w:r>
      <w:r>
        <w:rPr>
          <w:rFonts w:ascii="仿宋_GB2312" w:hAnsi="仿宋_GB2312" w:cs="仿宋_GB2312" w:eastAsia="仿宋_GB2312"/>
          <w:sz w:val="24"/>
          <w:shd w:fill="FFFFFF" w:val="clear"/>
        </w:rPr>
        <w:t>24小时服务专线，须提供承诺函(格式自拟)。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六)要求成交人配置服务机动车辆。(注：须提供成交人或下辖的分支机构车辆行驶证复印件并附上服务车的照片(照片包含车牌、车身体现成交人的字体或租赁车辆，若为租赁车辆的还须提供租赁车辆的行驶证复印件及车辆租赁合同并附上服务车的照片(照片包含车牌、车身体现成交人的字体)。</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(七)理赔流程</w:t>
      </w:r>
    </w:p>
    <w:p>
      <w:pPr>
        <w:pStyle w:val="null3"/>
        <w:ind w:firstLine="480"/>
        <w:jc w:val="both"/>
      </w:pPr>
      <w:r>
        <w:rPr>
          <w:rFonts w:ascii="仿宋_GB2312" w:hAnsi="仿宋_GB2312" w:cs="仿宋_GB2312" w:eastAsia="仿宋_GB2312"/>
          <w:sz w:val="24"/>
          <w:shd w:fill="FFFFFF" w:val="clear"/>
        </w:rPr>
        <w:t>根据成交人提供完善、易于操作的理赔流程</w:t>
      </w:r>
      <w:r>
        <w:rPr>
          <w:rFonts w:ascii="仿宋_GB2312" w:hAnsi="仿宋_GB2312" w:cs="仿宋_GB2312" w:eastAsia="仿宋_GB2312"/>
          <w:sz w:val="24"/>
          <w:shd w:fill="FFFFFF" w:val="clear"/>
        </w:rPr>
        <w:t>(包括但不限于：接听报案、现场查勘、赔款支付方式，理赔服务流程、客户索赔所需的必要单证、赔付结案并承诺在理赔后3日内提供理赔信息给采购人)。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(八)追溯期</w:t>
      </w:r>
    </w:p>
    <w:p>
      <w:pPr>
        <w:pStyle w:val="null3"/>
        <w:ind w:firstLine="480"/>
        <w:jc w:val="both"/>
      </w:pPr>
      <w:r>
        <w:rPr>
          <w:rFonts w:ascii="仿宋_GB2312" w:hAnsi="仿宋_GB2312" w:cs="仿宋_GB2312" w:eastAsia="仿宋_GB2312"/>
          <w:sz w:val="24"/>
          <w:shd w:fill="FFFFFF" w:val="clear"/>
        </w:rPr>
        <w:t>次年续保后追溯期应不少于</w:t>
      </w:r>
      <w:r>
        <w:rPr>
          <w:rFonts w:ascii="仿宋_GB2312" w:hAnsi="仿宋_GB2312" w:cs="仿宋_GB2312" w:eastAsia="仿宋_GB2312"/>
          <w:sz w:val="24"/>
          <w:shd w:fill="FFFFFF" w:val="clear"/>
        </w:rPr>
        <w:t>2年，覆盖医务人员在保险合同生效前2年内的执业行为导致的潜在风险。对于追溯期内发生但未及时发现的保险事故，成交人应按照保险条款承担相应赔偿责任。</w:t>
      </w:r>
    </w:p>
    <w:p>
      <w:pPr>
        <w:pStyle w:val="null3"/>
        <w:ind w:firstLine="480"/>
        <w:jc w:val="both"/>
      </w:pPr>
      <w:r>
        <w:rPr>
          <w:rFonts w:ascii="仿宋_GB2312" w:hAnsi="仿宋_GB2312" w:cs="仿宋_GB2312" w:eastAsia="仿宋_GB2312"/>
          <w:sz w:val="24"/>
          <w:shd w:fill="FFFFFF" w:val="clear"/>
        </w:rPr>
        <w:t>(九)纠纷处理机制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1、须指派专职人员全程参与医疗纠纷调解，并协助完成理赔材料收集与申报，成立服务小组，且小组不得少于3人。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2、对进入诉讼程序的案件，成交人应在收到应诉通知后5个工作日内组建包含专业律师、医学顾问的应诉团队，并向医院提交应诉策略报告。</w:t>
      </w:r>
    </w:p>
    <w:p>
      <w:pPr>
        <w:pStyle w:val="null3"/>
        <w:ind w:firstLine="480"/>
        <w:jc w:val="both"/>
      </w:pPr>
      <w:r>
        <w:rPr>
          <w:rFonts w:ascii="仿宋_GB2312" w:hAnsi="仿宋_GB2312" w:cs="仿宋_GB2312" w:eastAsia="仿宋_GB2312"/>
          <w:sz w:val="24"/>
          <w:shd w:fill="FFFFFF" w:val="clear"/>
        </w:rPr>
        <w:t>(十)数据安全与隐私保护</w:t>
      </w:r>
    </w:p>
    <w:p>
      <w:pPr>
        <w:pStyle w:val="null3"/>
        <w:ind w:firstLine="480"/>
        <w:jc w:val="both"/>
      </w:pPr>
      <w:r>
        <w:rPr>
          <w:rFonts w:ascii="仿宋_GB2312" w:hAnsi="仿宋_GB2312" w:cs="仿宋_GB2312" w:eastAsia="仿宋_GB2312"/>
          <w:sz w:val="24"/>
          <w:shd w:fill="FFFFFF" w:val="clear"/>
        </w:rPr>
        <w:t>1.信息保密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(1)供应商需书面承诺函对客户数据信息进行保密，须提供承诺函(格式自拟)。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(2)所有医疗数据存储服务器必须位于中国大陆境内，禁止跨境传输患者信息。</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2.隐私条款</w:t>
      </w:r>
    </w:p>
    <w:p>
      <w:pPr>
        <w:pStyle w:val="null3"/>
        <w:ind w:firstLine="480"/>
        <w:jc w:val="both"/>
      </w:pPr>
      <w:r>
        <w:rPr>
          <w:rFonts w:ascii="仿宋_GB2312" w:hAnsi="仿宋_GB2312" w:cs="仿宋_GB2312" w:eastAsia="仿宋_GB2312"/>
          <w:sz w:val="24"/>
          <w:shd w:fill="FFFFFF" w:val="clear"/>
        </w:rPr>
        <w:t>患者个人信息仅限用于保险理赔目的，未经医院书面授权不得向第三方披露。</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(十一)跨区域协同能力  </w:t>
      </w:r>
    </w:p>
    <w:p>
      <w:pPr>
        <w:pStyle w:val="null3"/>
        <w:ind w:firstLine="480"/>
        <w:jc w:val="both"/>
      </w:pPr>
      <w:r>
        <w:rPr>
          <w:rFonts w:ascii="仿宋_GB2312" w:hAnsi="仿宋_GB2312" w:cs="仿宋_GB2312" w:eastAsia="仿宋_GB2312"/>
          <w:sz w:val="24"/>
          <w:shd w:fill="FFFFFF" w:val="clear"/>
        </w:rPr>
        <w:t>支持异地分支机构联动处理跨区案件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(十二)提前终止条款，若出现以下情形，医院有权单方终止合同并要求赔偿：</w:t>
      </w:r>
    </w:p>
    <w:p>
      <w:pPr>
        <w:pStyle w:val="null3"/>
        <w:ind w:firstLine="480"/>
        <w:jc w:val="both"/>
      </w:pPr>
      <w:r>
        <w:rPr>
          <w:rFonts w:ascii="仿宋_GB2312" w:hAnsi="仿宋_GB2312" w:cs="仿宋_GB2312" w:eastAsia="仿宋_GB2312"/>
          <w:sz w:val="24"/>
          <w:shd w:fill="FFFFFF" w:val="clear"/>
        </w:rPr>
        <w:t>(1) 因重大案件处理延误导致医院声誉受损。</w:t>
      </w:r>
    </w:p>
    <w:p>
      <w:pPr>
        <w:pStyle w:val="null3"/>
        <w:ind w:firstLine="480"/>
        <w:jc w:val="both"/>
      </w:pPr>
      <w:r>
        <w:rPr>
          <w:rFonts w:ascii="仿宋_GB2312" w:hAnsi="仿宋_GB2312" w:cs="仿宋_GB2312" w:eastAsia="仿宋_GB2312"/>
          <w:sz w:val="24"/>
          <w:shd w:fill="FFFFFF" w:val="clear"/>
        </w:rPr>
        <w:t>(2) 累计3次未达到服务响应时效要求。</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(十三)社会责任条款</w:t>
      </w:r>
    </w:p>
    <w:p>
      <w:pPr>
        <w:pStyle w:val="null3"/>
        <w:ind w:firstLine="480"/>
        <w:jc w:val="both"/>
      </w:pPr>
      <w:r>
        <w:rPr>
          <w:rFonts w:ascii="仿宋_GB2312" w:hAnsi="仿宋_GB2312" w:cs="仿宋_GB2312" w:eastAsia="仿宋_GB2312"/>
          <w:sz w:val="24"/>
          <w:shd w:fill="FFFFFF" w:val="clear"/>
        </w:rPr>
        <w:t>成交人每年应提供以下公益服务：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1.每年1场患者安全教育活动(含医疗风险防范、依法维护合法权益途径等内容)；</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2.每年1次基层医疗机构帮扶培训(对象由医院指定，内容涵盖医疗纠纷预。防与处理)</w:t>
      </w:r>
    </w:p>
    <w:p>
      <w:pPr>
        <w:pStyle w:val="null3"/>
        <w:ind w:firstLine="480"/>
        <w:jc w:val="both"/>
      </w:pPr>
      <w:r>
        <w:rPr>
          <w:rFonts w:ascii="仿宋_GB2312" w:hAnsi="仿宋_GB2312" w:cs="仿宋_GB2312" w:eastAsia="仿宋_GB2312"/>
          <w:sz w:val="24"/>
          <w:shd w:fill="FFFFFF" w:val="clear"/>
        </w:rPr>
        <w:t>上述服务需纳入年度服务计划并报医院审核后执行。</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服务期限：1 年，自合同签订之日起计算。</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按照磋商文件中技术要求，合同中相关规定以及福建省福州结核病防治院制定的相关管理条例执行。</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1、期次1，说明：根据磋商文件、响应文件及国家有关质量标准规定进行验收。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1、合同签订后，成交人应向采购人出具本年度保险保单、足额的国家税发票等材料，达到付款条件起30日内，支付合同总金额的100.00%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shd w:fill="FFFFFF" w:val="clear"/>
        </w:rPr>
        <w:t>1、因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原因造成采购合同无法按时签订，视为</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违约对采购人造成的损失的，需另行支付相应的赔偿。</w:t>
      </w:r>
    </w:p>
    <w:p>
      <w:pPr>
        <w:pStyle w:val="null3"/>
        <w:ind w:firstLine="480"/>
      </w:pPr>
      <w:r>
        <w:rPr>
          <w:rFonts w:ascii="仿宋_GB2312" w:hAnsi="仿宋_GB2312" w:cs="仿宋_GB2312" w:eastAsia="仿宋_GB2312"/>
          <w:sz w:val="24"/>
          <w:shd w:fill="FFFFFF" w:val="clear"/>
        </w:rPr>
        <w:t>2、在签定采购合同之后，</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要求解除合同的，视为</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违约，对采购人造成的损失的，</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需支付相应的赔偿。</w:t>
      </w:r>
    </w:p>
    <w:p>
      <w:pPr>
        <w:pStyle w:val="null3"/>
        <w:ind w:firstLine="480"/>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逾期提供服务的</w:t>
      </w:r>
      <w:r>
        <w:rPr>
          <w:rFonts w:ascii="仿宋_GB2312" w:hAnsi="仿宋_GB2312" w:cs="仿宋_GB2312" w:eastAsia="仿宋_GB2312"/>
          <w:sz w:val="24"/>
          <w:shd w:fill="FFFFFF" w:val="clear"/>
        </w:rPr>
        <w:t>(不可抗力除外)，每逾期一天，偿付500元违约金;若</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逾期达</w:t>
      </w:r>
      <w:r>
        <w:rPr>
          <w:rFonts w:ascii="仿宋_GB2312" w:hAnsi="仿宋_GB2312" w:cs="仿宋_GB2312" w:eastAsia="仿宋_GB2312"/>
          <w:sz w:val="24"/>
          <w:shd w:fill="FFFFFF" w:val="clear"/>
        </w:rPr>
        <w:t>30天(含)以上的，采购人有权单方面解除合同并要求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支付中标总金额</w:t>
      </w:r>
      <w:r>
        <w:rPr>
          <w:rFonts w:ascii="仿宋_GB2312" w:hAnsi="仿宋_GB2312" w:cs="仿宋_GB2312" w:eastAsia="仿宋_GB2312"/>
          <w:sz w:val="24"/>
          <w:shd w:fill="FFFFFF" w:val="clear"/>
        </w:rPr>
        <w:t>30%的违约金。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仍应按上述约定支付延期交货违约金。若因此给采购人造成损失的，还应赔偿采购人所受的损失。</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提供的服务未达到合同约定的标准，应在采购人规定的时间内予以整改，每逾期一天，</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应向采购人支付</w:t>
      </w:r>
      <w:r>
        <w:rPr>
          <w:rFonts w:ascii="仿宋_GB2312" w:hAnsi="仿宋_GB2312" w:cs="仿宋_GB2312" w:eastAsia="仿宋_GB2312"/>
          <w:sz w:val="24"/>
          <w:shd w:fill="FFFFFF" w:val="clear"/>
        </w:rPr>
        <w:t>500元违约金，若因此给采购人造成损失的，</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还应赔偿采购人所受的损失。未在规定时间内整改完成的，采购人有权单方面解除合同并要求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支付中标总金额</w:t>
      </w:r>
      <w:r>
        <w:rPr>
          <w:rFonts w:ascii="仿宋_GB2312" w:hAnsi="仿宋_GB2312" w:cs="仿宋_GB2312" w:eastAsia="仿宋_GB2312"/>
          <w:sz w:val="24"/>
          <w:shd w:fill="FFFFFF" w:val="clear"/>
        </w:rPr>
        <w:t>30%的违约金，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仍应按上述约定支付逾期违约金。</w:t>
      </w:r>
    </w:p>
    <w:p>
      <w:pPr>
        <w:pStyle w:val="null3"/>
        <w:ind w:firstLine="480"/>
      </w:pPr>
      <w:r>
        <w:rPr>
          <w:rFonts w:ascii="仿宋_GB2312" w:hAnsi="仿宋_GB2312" w:cs="仿宋_GB2312" w:eastAsia="仿宋_GB2312"/>
          <w:sz w:val="24"/>
          <w:shd w:fill="FFFFFF" w:val="clear"/>
        </w:rPr>
        <w:t>5、因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原因发生任何事故，所造成的所有人员伤亡、财产损失和责任均由</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承担，与采购人无关。</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除依约承担赔偿责任外，还将按有关质量管理办法规定执行。同时，采购人有权保留更换</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的权利，并报相关行政主管部门处罚。</w:t>
      </w:r>
    </w:p>
    <w:p>
      <w:pPr>
        <w:pStyle w:val="null3"/>
        <w:ind w:firstLine="480"/>
      </w:pPr>
      <w:r>
        <w:rPr>
          <w:rFonts w:ascii="仿宋_GB2312" w:hAnsi="仿宋_GB2312" w:cs="仿宋_GB2312" w:eastAsia="仿宋_GB2312"/>
          <w:sz w:val="24"/>
          <w:shd w:fill="FFFFFF" w:val="clear"/>
        </w:rPr>
        <w:t>6、因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原因发生重大质量事故，除依约承担赔偿责任外还将按有关质量管理办法规定执行。同时，采购人有权保留更换</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的权利，并报相关行政主管部门处罚。</w:t>
      </w:r>
    </w:p>
    <w:p>
      <w:pPr>
        <w:pStyle w:val="null3"/>
        <w:ind w:firstLine="480"/>
      </w:pPr>
      <w:r>
        <w:rPr>
          <w:rFonts w:ascii="仿宋_GB2312" w:hAnsi="仿宋_GB2312" w:cs="仿宋_GB2312" w:eastAsia="仿宋_GB2312"/>
          <w:sz w:val="24"/>
          <w:shd w:fill="FFFFFF" w:val="clear"/>
        </w:rPr>
        <w:t>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pPr>
      <w:r>
        <w:rPr>
          <w:rFonts w:ascii="仿宋_GB2312" w:hAnsi="仿宋_GB2312" w:cs="仿宋_GB2312" w:eastAsia="仿宋_GB2312"/>
          <w:sz w:val="24"/>
          <w:shd w:fill="FFFFFF" w:val="clear"/>
        </w:rPr>
        <w:t>8、任何一方因对方违约，向违约方主张权利所支出的律师费、诉讼费/仲裁费保全费、差旅费等费用均有权要求违约方承担。</w:t>
      </w:r>
    </w:p>
    <w:p>
      <w:pPr>
        <w:pStyle w:val="null3"/>
        <w:ind w:firstLine="480"/>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未能履行合同项下的任何义务的，采购人有权单方面解除本合同并要求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按合同约定支付违约金并赔偿损失。</w:t>
      </w:r>
    </w:p>
    <w:p>
      <w:pPr>
        <w:pStyle w:val="null3"/>
        <w:ind w:firstLine="480"/>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无正当理由，拒不履行</w:t>
      </w:r>
      <w:r>
        <w:rPr>
          <w:rFonts w:ascii="仿宋_GB2312" w:hAnsi="仿宋_GB2312" w:cs="仿宋_GB2312" w:eastAsia="仿宋_GB2312"/>
          <w:sz w:val="24"/>
          <w:shd w:fill="FFFFFF" w:val="clear"/>
        </w:rPr>
        <w:t>保险</w:t>
      </w:r>
      <w:r>
        <w:rPr>
          <w:rFonts w:ascii="仿宋_GB2312" w:hAnsi="仿宋_GB2312" w:cs="仿宋_GB2312" w:eastAsia="仿宋_GB2312"/>
          <w:sz w:val="24"/>
          <w:shd w:fill="FFFFFF" w:val="clear"/>
        </w:rPr>
        <w:t>服务的，采购人有权解除本合同，如采购人已支付维保费用，</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应退还采购人已支付的全部款项，并支付合同金额</w:t>
      </w:r>
      <w:r>
        <w:rPr>
          <w:rFonts w:ascii="仿宋_GB2312" w:hAnsi="仿宋_GB2312" w:cs="仿宋_GB2312" w:eastAsia="仿宋_GB2312"/>
          <w:sz w:val="24"/>
          <w:shd w:fill="FFFFFF" w:val="clear"/>
        </w:rPr>
        <w:t>30%的金额作为违约金，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应同时赔偿采购人因此遭受的全部损失。</w:t>
      </w:r>
    </w:p>
    <w:p>
      <w:pPr>
        <w:pStyle w:val="null3"/>
        <w:ind w:firstLine="480"/>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按照本合同的约定需要承担违约金或赔偿责任的，采购人有权从应付款项中直接扣除该笔违约金或赔偿金。</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2.1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2.2本磋商文件未明确的其它约定事项或条款，待采购人与成交人签订合同时，由双方协商订立。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[350101]SD[CS]2025005-1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医责险(二次)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1(医责险)</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医责险</w:t>
            </w:r>
          </w:p>
        </w:tc>
        <w:tc>
          <w:tcPr>
            <w:tcW w:type="dxa" w:w="1661"/>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[350101]SD[CS]2025005-1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医责险(二次)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医责险</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医责险</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医责险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